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er8.xml" ContentType="application/vnd.openxmlformats-officedocument.wordprocessingml.footer+xml"/>
  <Override PartName="/word/media/image1.wmf" ContentType="image/x-wmf"/>
  <Override PartName="/word/media/image2.wmf" ContentType="image/x-wmf"/>
  <Override PartName="/word/footer9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footer12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right="39" w:hanging="0"/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 xml:space="preserve">Приложение №4 </w:t>
      </w:r>
    </w:p>
    <w:p>
      <w:pPr>
        <w:pStyle w:val="Normal"/>
        <w:spacing w:lineRule="auto" w:line="240" w:before="0" w:after="0"/>
        <w:ind w:right="39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Техническим требованиям </w:t>
      </w:r>
    </w:p>
    <w:p>
      <w:pPr>
        <w:pStyle w:val="Normal"/>
        <w:spacing w:lineRule="auto" w:line="240" w:before="0" w:after="0"/>
        <w:ind w:right="39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обследование водосливной плотины и здания ГЭС Новосибирской ГЭС </w:t>
      </w:r>
    </w:p>
    <w:p>
      <w:pPr>
        <w:pStyle w:val="Normal"/>
        <w:spacing w:lineRule="auto" w:line="240" w:before="0" w:after="0"/>
        <w:ind w:right="39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части закладных частей затворов</w:t>
      </w:r>
    </w:p>
    <w:p>
      <w:pPr>
        <w:pStyle w:val="Normal"/>
        <w:spacing w:lineRule="auto" w:line="240" w:before="0" w:after="0"/>
        <w:ind w:right="2947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 сметной документации.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научно-исследовательских, экспериментальных и опытно-конструкторских работ (далее по тексту–НИР/НИОКР).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или расчеты на НИР/НИОКР составлять на основании технических требований (технического задания) заказчика, графиков производства работ.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 (обследований, обмерных работ и т.д.), определяется на основе Справочников базовых цен и других нормативных сборников,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Пересчет сметной стоимости НИР/НИОКР по состоянию на 01.01.2001г, 01.01.1995г. (1991г.) следует производить согласно индексам на указанные работы, рекомендованным к применению </w:t>
      </w:r>
      <w:r>
        <w:rPr>
          <w:rFonts w:ascii="Times New Roman" w:hAnsi="Times New Roman"/>
          <w:color w:val="000000"/>
          <w:sz w:val="24"/>
          <w:szCs w:val="24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НИР/НИОКР, затраты организации, расположенной в </w:t>
      </w:r>
      <w:r>
        <w:rPr>
          <w:rFonts w:cs="Times New Roman" w:ascii="Times New Roman" w:hAnsi="Times New Roman"/>
          <w:sz w:val="24"/>
          <w:szCs w:val="24"/>
        </w:rPr>
        <w:t>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№ 9-10-17/40, 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части, вводных указаний сборников или других нормативных документов.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284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НИР/НИОКР, цены на которые отсутствуют в СБЦ, СЦ и других нормативных сборниках, внесенных в ФРСН, определять сметным расчетом по себестоимости и уровню рентабельности (форма №3п) по согласованию с Заказчиком.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Средства на выполнение НИР/НИОКР определяются отдельными расчетами в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соответствии с видом выполняемых работ и включаются (по необходимости) в сводную смету (Приложение №3).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1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ascii="Times New Roman" w:hAnsi="Times New Roman"/>
          <w:sz w:val="24"/>
          <w:szCs w:val="24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1134" w:leader="none"/>
        </w:tabs>
        <w:spacing w:before="40" w:after="40"/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Стоимость работ определяется по формуле: 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где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Цд – стоимость договора;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center"/>
        <w:rPr/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где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/>
      </w:pPr>
      <w:r>
        <w:rPr>
          <w:color w:val="000000"/>
        </w:rPr>
        <w:t>Д1,Д2,Д</w:t>
      </w:r>
      <w:r>
        <w:rPr>
          <w:color w:val="000000"/>
          <w:lang w:val="en-US"/>
        </w:rPr>
        <w:t>i</w:t>
      </w:r>
      <w:r>
        <w:rPr>
          <w:color w:val="000000"/>
        </w:rPr>
        <w:t xml:space="preserve"> - доля сметной стоимости работ, подлежащих выполнению соответственно в 1-й, 2-й, 3-й, i-ый годы строительства;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/>
      </w:pPr>
      <w:r>
        <w:rPr>
          <w:color w:val="000000"/>
        </w:rPr>
        <w:t>i - год завершения строительства объекта;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/>
      </w:pPr>
      <w:r>
        <w:rPr>
          <w:color w:val="000000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</w:p>
    <w:p>
      <w:pPr>
        <w:pStyle w:val="Dt-p"/>
        <w:shd w:val="clear" w:color="auto" w:fill="FFFFFF"/>
        <w:tabs>
          <w:tab w:val="clear" w:pos="709"/>
          <w:tab w:val="left" w:pos="180" w:leader="none"/>
          <w:tab w:val="left" w:pos="1134" w:leader="none"/>
        </w:tabs>
        <w:spacing w:beforeAutospacing="0" w:before="0" w:afterAutospacing="0" w:after="0"/>
        <w:ind w:firstLine="567"/>
        <w:jc w:val="both"/>
        <w:textAlignment w:val="baseline"/>
        <w:rPr/>
      </w:pPr>
      <w:r>
        <w:rPr>
          <w:color w:val="000000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 этом: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spacing w:before="40" w:after="40"/>
        <w:ind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568" w:leader="none"/>
          <w:tab w:val="left" w:pos="1134" w:leader="none"/>
        </w:tabs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сводной сметы в накопительной форме(справочно)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>
        <w:rPr>
          <w:rFonts w:cs="Times New Roman" w:ascii="Times New Roman" w:hAnsi="Times New Roman"/>
          <w:sz w:val="24"/>
          <w:szCs w:val="24"/>
        </w:rPr>
        <w:t>(образец приложение № 3.1)</w:t>
      </w:r>
      <w:r>
        <w:rPr>
          <w:rFonts w:ascii="Times New Roman" w:hAnsi="Times New Roman"/>
          <w:color w:val="000000"/>
          <w:sz w:val="24"/>
          <w:szCs w:val="24"/>
        </w:rPr>
        <w:t xml:space="preserve"> 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округляются</w:t>
      </w:r>
      <w:r>
        <w:rPr>
          <w:rFonts w:ascii="Times New Roman" w:hAnsi="Times New Roman"/>
          <w:sz w:val="24"/>
          <w:szCs w:val="24"/>
        </w:rPr>
        <w:t xml:space="preserve"> до целых рублей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графа 5 «Стоимость» (образец 2П приложения 2);</w:t>
      </w:r>
      <w:r>
        <w:rPr>
          <w:sz w:val="24"/>
          <w:szCs w:val="24"/>
        </w:rPr>
        <w:t xml:space="preserve"> 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графа 7 «Оплата труда (всего)» (образец 3П приложения 2).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Результаты вычислений (построчные) и итоговые данные в локальных сметных расчетах, (сметах), приводятся в рублях,</w:t>
      </w:r>
    </w:p>
    <w:p>
      <w:pPr>
        <w:pStyle w:val="ConsPlusNormal1"/>
        <w:tabs>
          <w:tab w:val="clear" w:pos="709"/>
          <w:tab w:val="left" w:pos="180" w:leader="none"/>
          <w:tab w:val="left" w:pos="567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базисно-индексном методе, с округлением до целых рублей;</w:t>
      </w:r>
    </w:p>
    <w:p>
      <w:pPr>
        <w:pStyle w:val="ConsPlusNormal1"/>
        <w:tabs>
          <w:tab w:val="clear" w:pos="709"/>
          <w:tab w:val="left" w:pos="180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ListParagraph"/>
        <w:tabs>
          <w:tab w:val="clear" w:pos="709"/>
          <w:tab w:val="left" w:pos="180" w:leader="none"/>
          <w:tab w:val="left" w:pos="993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сводной смете - в рублях с округлением до двух знаков после запятой.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предоставляются в 2-х вариантах: бумажном и электронном (в формате «</w:t>
      </w:r>
      <w:r>
        <w:rPr>
          <w:rFonts w:cs="Times New Roman" w:ascii="Times New Roman" w:hAnsi="Times New Roman"/>
          <w:sz w:val="24"/>
          <w:szCs w:val="24"/>
          <w:lang w:val="en-US"/>
        </w:rPr>
        <w:t>Excel</w:t>
      </w:r>
      <w:r>
        <w:rPr>
          <w:rFonts w:cs="Times New Roman" w:ascii="Times New Roman" w:hAnsi="Times New Roman"/>
          <w:sz w:val="24"/>
          <w:szCs w:val="24"/>
        </w:rPr>
        <w:t>»).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действующим законодательством РФ и с учетом норм, определяемых внутренним документом организации. </w:t>
      </w:r>
    </w:p>
    <w:p>
      <w:pPr>
        <w:pStyle w:val="ConsPlusNormal1"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/>
      </w:pP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 xml:space="preserve">Лимиты командировочных расходов при производстве НИР/НИОКР по статьям затрат следующие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>: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eastAsia="Geneva" w:ascii="Times New Roman" w:hAnsi="Times New Roman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eastAsia="Geneva" w:ascii="Times New Roman" w:hAnsi="Times New Roman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/>
      </w:pPr>
      <w:r>
        <w:rPr>
          <w:rFonts w:eastAsia="Geneva" w:ascii="Times New Roman" w:hAnsi="Times New Roman"/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учета строительно-монтажных работ в рамках исполнения работ при производстве НИР/НИОКР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субподрядных работ (в случае наличия таковых) следует отразить отдельной строкой в Сводной смете (образец приложение № 3) с представлением соответствующих расчетов.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материальных ресурсов и комплектующих, необходимых для создания опытных образцов, следует отразить отдельными строками в Сводной смете/.</w:t>
      </w:r>
    </w:p>
    <w:p>
      <w:pPr>
        <w:sectPr>
          <w:footerReference w:type="default" r:id="rId2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2"/>
        </w:numPr>
        <w:tabs>
          <w:tab w:val="clear" w:pos="709"/>
          <w:tab w:val="left" w:pos="180" w:leader="none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строительно-монтажных работ, выполняемым в целях создания опытных образов и макетов, следует отразить отдельными строками в Сводной смете с представлением соответствующих расчетов (в случае наличия таковых).</w:t>
      </w:r>
    </w:p>
    <w:p>
      <w:pPr>
        <w:pStyle w:val="ConsPlusNormal1"/>
        <w:widowControl/>
        <w:tabs>
          <w:tab w:val="clear" w:pos="709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 составлении смет на НИР/НИОКР.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составлении калькуляции затрат (форма №3п), разработанным организацией, выполняющей НИР/НИОКР, </w:t>
      </w:r>
      <w:r>
        <w:rPr>
          <w:rFonts w:ascii="Times New Roman" w:hAnsi="Times New Roman"/>
          <w:color w:val="000000"/>
          <w:sz w:val="24"/>
          <w:szCs w:val="24"/>
        </w:rPr>
        <w:t>Заказчику предоставляется обоснование расчета. Сметные расчеты составляются в ценах текущего периода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  <w:tab w:val="left" w:pos="5812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Калькуляцией затрат (форма №3п) рекомендуется определять стоимость работ, цены на которые отсутствуют в МНЗ и СБЦ, внесенных в ФРСН </w:t>
      </w:r>
      <w:r>
        <w:rPr>
          <w:rFonts w:ascii="Times New Roman" w:hAnsi="Times New Roman"/>
          <w:sz w:val="24"/>
          <w:szCs w:val="24"/>
        </w:rPr>
        <w:t>и других нормативных сборниках, внесенных в ФРСН.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НИР/НИОКР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исполнителей, занятых в выполнении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shd w:val="clear" w:color="auto" w:fill="FFFFFF" w:themeFill="background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(10%)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научных исследований и разработок (</w:t>
      </w:r>
      <w:hyperlink r:id="rId3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71.2.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работ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определения сметной стоимости работ и с учетом Классификатора объектов административно-территориального деления (ОКАТО) организации выполняющей работы. Для работ по объектам, являющимся особо опасными, технически сложными, уникальными объектами согласно </w:t>
      </w:r>
      <w:hyperlink r:id="rId4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5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2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работ: К3 принимается в размере 40,06%;</w:t>
      </w:r>
    </w:p>
    <w:p>
      <w:pPr>
        <w:pStyle w:val="ConsPlusNormal1"/>
        <w:numPr>
          <w:ilvl w:val="1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6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7">
        <w:r>
          <w:rPr>
            <w:rStyle w:val="Hyperlink"/>
            <w:rFonts w:cs="Times New Roman"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печатью.</w:t>
      </w:r>
    </w:p>
    <w:p>
      <w:pPr>
        <w:pStyle w:val="ConsPlusNormal1"/>
        <w:numPr>
          <w:ilvl w:val="1"/>
          <w:numId w:val="8"/>
        </w:numPr>
        <w:tabs>
          <w:tab w:val="clear" w:pos="709"/>
          <w:tab w:val="left" w:pos="1134" w:leader="none"/>
        </w:tabs>
        <w:ind w:left="0" w:firstLine="567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/>
      </w:pPr>
      <w:r>
        <w:rPr>
          <w:rFonts w:cs="Times New Roman" w:ascii="Times New Roman" w:hAnsi="Times New Roman"/>
          <w:i/>
          <w:sz w:val="24"/>
          <w:szCs w:val="24"/>
        </w:rPr>
        <w:t xml:space="preserve">Например, в 1 квартале 2025 года, стоимость НИР рассчитывается по калькуляции затрат в уровне цен по состоянию на 31.12.2024 и включается в смету с последующим применением соответствующих индексов изменения 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НИР/НИОКР, определяемых в соответствии с калькуляцией затрат, не учитывает командировочные расходы, определяемые дополнительно.</w:t>
      </w:r>
    </w:p>
    <w:p>
      <w:pPr>
        <w:pStyle w:val="Normal"/>
        <w:tabs>
          <w:tab w:val="clear" w:pos="709"/>
          <w:tab w:val="left" w:pos="993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НИР/НИОКР не более: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eastAsia="Calibri" w:ascii="Times New Roman" w:hAnsi="Times New Roman"/>
          <w:sz w:val="24"/>
          <w:szCs w:val="24"/>
          <w:lang w:eastAsia="en-US"/>
        </w:rPr>
        <w:t>методами, предусмотренными Методикой ПЦ (методы без использования сметных нормативов</w:t>
      </w:r>
      <w:r>
        <w:rPr>
          <w:rFonts w:ascii="Times New Roman" w:hAnsi="Times New Roman"/>
          <w:sz w:val="24"/>
          <w:szCs w:val="24"/>
        </w:rPr>
        <w:t>.</w:t>
      </w:r>
    </w:p>
    <w:p>
      <w:pPr>
        <w:sectPr>
          <w:footerReference w:type="default" r:id="rId8"/>
          <w:footerReference w:type="first" r:id="rId9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993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6237" w:firstLine="567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tabs>
          <w:tab w:val="clear" w:pos="709"/>
          <w:tab w:val="left" w:pos="5812" w:leader="none"/>
        </w:tabs>
        <w:spacing w:lineRule="auto" w:line="240" w:before="0" w:after="0"/>
        <w:ind w:left="5670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hd w:val="clear" w:color="auto" w:fill="FFFFFF"/>
        <w:spacing w:lineRule="auto" w:line="240" w:before="0" w:after="0"/>
        <w:ind w:left="720" w:right="-709" w:firstLine="284"/>
        <w:contextualSpacing/>
        <w:jc w:val="right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научно-исследовательские работы (НИР/НИОКР)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37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noHBand="0" w:noVBand="1" w:firstColumn="1" w:lastRow="0" w:lastColumn="0" w:firstRow="1"/>
            </w:tblPr>
            <w:tblGrid>
              <w:gridCol w:w="453"/>
              <w:gridCol w:w="1812"/>
              <w:gridCol w:w="3287"/>
              <w:gridCol w:w="1984"/>
              <w:gridCol w:w="1843"/>
            </w:tblGrid>
            <w:tr>
              <w:trPr/>
              <w:tc>
                <w:tcPr>
                  <w:tcW w:w="45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2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 объекта </w:t>
                  </w:r>
                </w:p>
              </w:tc>
              <w:tc>
                <w:tcPr>
                  <w:tcW w:w="3287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Наименование, номера глав, таблиц, параграфов и пунктов МНЗ (СБЦ)  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2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287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099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10"/>
          <w:footerReference w:type="first" r:id="rId11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НИР/НИОКР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научно-исследовательские работы (НИР/НИОКР)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научно-исследовательских работ (Ккв-уч)</w:t>
      </w:r>
    </w:p>
    <w:tbl>
      <w:tblPr>
        <w:tblW w:w="9912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558"/>
        <w:gridCol w:w="1418"/>
        <w:gridCol w:w="1557"/>
        <w:gridCol w:w="1845"/>
        <w:gridCol w:w="1415"/>
        <w:gridCol w:w="1421"/>
        <w:gridCol w:w="1697"/>
      </w:tblGrid>
      <w:tr>
        <w:trPr/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5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работ, предусмотренных калькуляцией, Тп (дни)</w:t>
            </w:r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6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6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2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69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калькуляцией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-7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1692"/>
        <w:gridCol w:w="1419"/>
        <w:gridCol w:w="1700"/>
        <w:gridCol w:w="1845"/>
        <w:gridCol w:w="1133"/>
        <w:gridCol w:w="1702"/>
        <w:gridCol w:w="1415"/>
        <w:gridCol w:w="1702"/>
        <w:gridCol w:w="1606"/>
        <w:gridCol w:w="1285"/>
      </w:tblGrid>
      <w:tr>
        <w:trPr/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6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6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16"/>
          <w:footerReference w:type="first" r:id="rId17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/>
        <mc:AlternateContent>
          <mc:Choice Requires="wps">
            <w:drawing>
              <wp:anchor behindDoc="0" distT="0" distB="0" distL="114300" distR="0" simplePos="0" locked="0" layoutInCell="0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_x0000_tole_rId14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14" coordsize="21600,21600" o:spt="ole_rId1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4" type="_x0000_tole_rId14" style="width:79.5pt;height:51pt;mso-wrap-distance-right:0pt" filled="f" o:ole="">
            <v:imagedata r:id="rId15" o:title=""/>
          </v:shape>
          <o:OLEObject Type="Embed" ProgID="Excel.Sheet.12" ShapeID="ole_rId14" DrawAspect="Icon" ObjectID="_147208257" r:id="rId14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583" w:type="dxa"/>
        <w:jc w:val="left"/>
        <w:tblInd w:w="-79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HBand="0" w:noVBand="1" w:firstColumn="1" w:lastRow="0" w:lastColumn="0" w:firstRow="1"/>
      </w:tblPr>
      <w:tblGrid>
        <w:gridCol w:w="490"/>
        <w:gridCol w:w="1908"/>
        <w:gridCol w:w="1843"/>
        <w:gridCol w:w="6"/>
        <w:gridCol w:w="1978"/>
        <w:gridCol w:w="6"/>
        <w:gridCol w:w="2684"/>
        <w:gridCol w:w="6"/>
        <w:gridCol w:w="1270"/>
        <w:gridCol w:w="8"/>
        <w:gridCol w:w="1982"/>
        <w:gridCol w:w="1988"/>
        <w:gridCol w:w="1412"/>
      </w:tblGrid>
      <w:tr>
        <w:trPr>
          <w:trHeight w:val="644" w:hRule="atLeast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9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19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41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9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0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247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8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sectPr>
          <w:footerReference w:type="default" r:id="rId20"/>
          <w:footerReference w:type="first" r:id="rId21"/>
          <w:footnotePr>
            <w:numFmt w:val="decimal"/>
            <w:numRestart w:val="eachSect"/>
          </w:footnotePr>
          <w:type w:val="nextPage"/>
          <w:pgSz w:orient="landscape" w:w="16838" w:h="11906"/>
          <w:pgMar w:left="1560" w:right="709" w:gutter="0" w:header="0" w:top="1304" w:footer="709" w:bottom="924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/>
        <mc:AlternateContent>
          <mc:Choice Requires="wps">
            <w:drawing>
              <wp:anchor behindDoc="0" distT="0" distB="0" distL="114300" distR="0" simplePos="0" locked="0" layoutInCell="0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_x0000_tole_rId18" stroked="f" o:allowincell="f" style="position:absolute;margin-left:0.05pt;margin-top:0pt;width:49.95pt;height:49.95pt;mso-wrap-style:none;v-text-anchor:middle" type="_x0000_t75">
                <v:fill o:detectmouseclick="t" on="false"/>
                <v:stroke color="#3465a4" joinstyle="round" endcap="flat"/>
                <w10:wrap type="none"/>
              </v:shape>
            </w:pict>
          </mc:Fallback>
        </mc:AlternateContent>
        <w:object>
          <v:shapetype id="_x0000_tole_rId18" coordsize="21600,21600" o:spt="ole_rId18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8" type="_x0000_tole_rId18" style="width:79.5pt;height:51pt;mso-wrap-distance-right:0pt" filled="f" o:ole="">
            <v:imagedata r:id="rId19" o:title=""/>
          </v:shape>
          <o:OLEObject Type="Embed" ProgID="Excel.Sheet.12" ShapeID="ole_rId18" DrawAspect="Icon" ObjectID="_1184244413" r:id="rId18"/>
        </w:objec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3.1</w: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14"/>
        <w:gridCol w:w="238"/>
        <w:gridCol w:w="2183"/>
        <w:gridCol w:w="1095"/>
        <w:gridCol w:w="306"/>
        <w:gridCol w:w="236"/>
        <w:gridCol w:w="1580"/>
      </w:tblGrid>
      <w:tr>
        <w:trPr>
          <w:trHeight w:val="2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7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2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35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75"/>
              <w:gridCol w:w="2697"/>
              <w:gridCol w:w="1783"/>
              <w:gridCol w:w="4119"/>
            </w:tblGrid>
            <w:tr>
              <w:trPr/>
              <w:tc>
                <w:tcPr>
                  <w:tcW w:w="9574" w:type="dxa"/>
                  <w:gridSpan w:val="4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754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left="720" w:right="-5522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21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3.1</w:t>
      </w: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НИР/НИОКР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14"/>
        <w:gridCol w:w="238"/>
        <w:gridCol w:w="2183"/>
        <w:gridCol w:w="1095"/>
        <w:gridCol w:w="306"/>
        <w:gridCol w:w="236"/>
        <w:gridCol w:w="1580"/>
      </w:tblGrid>
      <w:tr>
        <w:trPr>
          <w:trHeight w:val="2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1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7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42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35" w:type="dxa"/>
            <w:gridSpan w:val="3"/>
            <w:tcBorders/>
          </w:tcPr>
          <w:tbl>
            <w:tblPr>
              <w:tblW w:w="9324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HBand="0" w:noVBand="0" w:firstColumn="0" w:lastRow="0" w:lastColumn="0" w:firstRow="0"/>
            </w:tblPr>
            <w:tblGrid>
              <w:gridCol w:w="979"/>
              <w:gridCol w:w="3763"/>
              <w:gridCol w:w="1956"/>
              <w:gridCol w:w="2482"/>
              <w:gridCol w:w="144"/>
            </w:tblGrid>
            <w:tr>
              <w:trPr/>
              <w:tc>
                <w:tcPr>
                  <w:tcW w:w="9324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(накопительная)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на </w:t>
                  </w:r>
                  <w:r>
                    <w:rPr>
                      <w:rFonts w:ascii="Times New Roman" w:hAnsi="Times New Roman"/>
                    </w:rPr>
                    <w:t>НИР/НИОКР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754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 xml:space="preserve">Перечень (наименование) выполняемых работ 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Ссылка на № смет и расчетов</w:t>
                  </w:r>
                </w:p>
              </w:tc>
              <w:tc>
                <w:tcPr>
                  <w:tcW w:w="2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4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4" w:type="dxa"/>
                  <w:tcBorders/>
                </w:tcPr>
                <w:p>
                  <w:pPr>
                    <w:pStyle w:val="Normal"/>
                    <w:widowControl w:val="false"/>
                    <w:spacing w:before="0" w:after="200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Сметы основного договора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по договору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Исключено Дополнительным соглашением №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исключено Дополнительным соглашением №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Включено Дополнительным соглашением №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 Включено Дополнительным соглашением №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  <w:lang w:val="en-US"/>
                    </w:rPr>
                    <w:t>ИТОГО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3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Справочно:</w:t>
                  </w:r>
                </w:p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i/>
                      <w:i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Основного договора</w:t>
                  </w:r>
                </w:p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i/>
                      <w:i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уменьшения Договора на основании ДС№ (без НДС)</w:t>
                  </w:r>
                </w:p>
                <w:p>
                  <w:pPr>
                    <w:pStyle w:val="ConsPlusNormal1"/>
                    <w:widowControl w:val="false"/>
                    <w:ind w:left="720" w:hanging="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i/>
                    </w:rPr>
                    <w:t>Сумма увеличения Договора на основании ДС№ (без НДС)</w:t>
                  </w:r>
                </w:p>
              </w:tc>
              <w:tc>
                <w:tcPr>
                  <w:tcW w:w="1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2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left="720"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ConsPlusNormal1"/>
              <w:widowControl w:val="false"/>
              <w:ind w:left="720" w:right="-5522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217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left="709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5812" w:firstLine="1134"/>
        <w:contextualSpacing/>
        <w:jc w:val="right"/>
        <w:rPr>
          <w:rStyle w:val="Style15"/>
          <w:rFonts w:ascii="Times New Roman" w:hAnsi="Times New Roman"/>
          <w:iCs/>
        </w:rPr>
      </w:pPr>
      <w:r>
        <w:rPr/>
      </w:r>
    </w:p>
    <w:sectPr>
      <w:footerReference w:type="default" r:id="rId22"/>
      <w:footerReference w:type="first" r:id="rId23"/>
      <w:footnotePr>
        <w:numFmt w:val="decimal"/>
        <w:numRestart w:val="eachSect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1883751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spacing w:lineRule="auto" w:line="240" w:before="0" w:after="0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false"/>
        <w:rFonts w:ascii="Times New Roman" w:hAnsi="Times New Roman"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/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/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5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3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0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1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8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trackedChanges" w:enforcement="1" w:cryptAlgorithmSid="14" w:cryptSpinCount="100000" w:cryptProviderType="rsaAES" w:cryptAlgorithmClass="hash" w:cryptAlgorithmType="typeAny" w:salt="A5JIlhA8atb5MmLSLOvHWg==" w:hash="xggPgeaspba0rRV5at4CHL9+RaTE1hzUgI3ctkC4oaeWra8wdKC8dIRrd4EnSx+48oqmc12JokEnLr3dyMxlUA==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 w:customStyle="1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3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3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3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7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9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4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5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6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7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footer" Target="footer5.xml"/><Relationship Id="rId12" Type="http://schemas.openxmlformats.org/officeDocument/2006/relationships/footer" Target="footer6.xml"/><Relationship Id="rId13" Type="http://schemas.openxmlformats.org/officeDocument/2006/relationships/footer" Target="footer7.xml"/><Relationship Id="rId14" Type="http://schemas.openxmlformats.org/officeDocument/2006/relationships/package" Target="embeddings/oleObject1.xlsx"/><Relationship Id="rId15" Type="http://schemas.openxmlformats.org/officeDocument/2006/relationships/image" Target="media/image1.wmf"/><Relationship Id="rId16" Type="http://schemas.openxmlformats.org/officeDocument/2006/relationships/footer" Target="footer8.xml"/><Relationship Id="rId17" Type="http://schemas.openxmlformats.org/officeDocument/2006/relationships/footer" Target="footer9.xml"/><Relationship Id="rId18" Type="http://schemas.openxmlformats.org/officeDocument/2006/relationships/package" Target="embeddings/oleObject2.xlsx"/><Relationship Id="rId19" Type="http://schemas.openxmlformats.org/officeDocument/2006/relationships/image" Target="media/image2.wmf"/><Relationship Id="rId20" Type="http://schemas.openxmlformats.org/officeDocument/2006/relationships/footer" Target="footer10.xml"/><Relationship Id="rId21" Type="http://schemas.openxmlformats.org/officeDocument/2006/relationships/footer" Target="footer11.xml"/><Relationship Id="rId22" Type="http://schemas.openxmlformats.org/officeDocument/2006/relationships/footer" Target="footer12.xml"/><Relationship Id="rId23" Type="http://schemas.openxmlformats.org/officeDocument/2006/relationships/footer" Target="footer13.xml"/><Relationship Id="rId24" Type="http://schemas.openxmlformats.org/officeDocument/2006/relationships/footnotes" Target="footnotes.xm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<Relationship Id="rId2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C57AA-C42B-4F87-AD1B-AE7E5AEA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AlterOffice/3.4.0.9$Linux_X86_64 LibreOffice_project/b8daf9e823b1a5463a2f48435ddc2e8696e7d4fc</Application>
  <AppVersion>15.0000</AppVersion>
  <Pages>13</Pages>
  <Words>2669</Words>
  <Characters>20178</Characters>
  <CharactersWithSpaces>20559</CharactersWithSpaces>
  <Paragraphs>321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>murinatv@corp.gidroogk.com</cp:lastModifiedBy>
  <cp:lastPrinted>2021-07-09T09:18:00Z</cp:lastPrinted>
  <dcterms:modified xsi:type="dcterms:W3CDTF">2026-07-31T11:15:22Z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0</vt:r8>
  </property>
  <property fmtid="{D5CDD505-2E9C-101B-9397-08002B2CF9AE}" pid="3" name="_MarkAsFinal">
    <vt:bool>1</vt:bool>
  </property>
</Properties>
</file>